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0B36" w14:textId="44468E50" w:rsidR="009B0761" w:rsidRDefault="009B0761" w:rsidP="009B0761">
      <w:pPr>
        <w:pStyle w:val="Heading1"/>
        <w:jc w:val="center"/>
        <w:rPr>
          <w:b/>
          <w:bCs/>
        </w:rPr>
      </w:pPr>
      <w:r>
        <w:rPr>
          <w:noProof/>
        </w:rPr>
        <w:drawing>
          <wp:inline distT="0" distB="0" distL="0" distR="0" wp14:anchorId="61CE5C44" wp14:editId="5516F267">
            <wp:extent cx="933450" cy="1295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933450" cy="1295400"/>
                    </a:xfrm>
                    <a:prstGeom prst="rect">
                      <a:avLst/>
                    </a:prstGeom>
                  </pic:spPr>
                </pic:pic>
              </a:graphicData>
            </a:graphic>
          </wp:inline>
        </w:drawing>
      </w:r>
    </w:p>
    <w:p w14:paraId="08E74FFD" w14:textId="2CF45209" w:rsidR="00B07053" w:rsidRDefault="00B07053" w:rsidP="00B07053"/>
    <w:p w14:paraId="33FBF4CB" w14:textId="5DF28E0C" w:rsidR="00B07053" w:rsidRDefault="002C621C" w:rsidP="00652D17">
      <w:pPr>
        <w:pStyle w:val="Heading1"/>
        <w:jc w:val="center"/>
        <w:rPr>
          <w:b/>
          <w:bCs/>
        </w:rPr>
      </w:pPr>
      <w:r>
        <w:rPr>
          <w:b/>
          <w:bCs/>
        </w:rPr>
        <w:t xml:space="preserve">Working with </w:t>
      </w:r>
      <w:r w:rsidR="00FB60EF">
        <w:rPr>
          <w:b/>
          <w:bCs/>
        </w:rPr>
        <w:t>Vulnerable People</w:t>
      </w:r>
      <w:r>
        <w:rPr>
          <w:b/>
          <w:bCs/>
        </w:rPr>
        <w:t xml:space="preserve"> Policy</w:t>
      </w:r>
    </w:p>
    <w:p w14:paraId="3E36B538" w14:textId="77777777" w:rsidR="00BD047C" w:rsidRPr="00BD047C" w:rsidRDefault="00BD047C" w:rsidP="00BD047C"/>
    <w:tbl>
      <w:tblPr>
        <w:tblStyle w:val="TableGrid"/>
        <w:tblW w:w="0" w:type="auto"/>
        <w:tblLook w:val="04A0" w:firstRow="1" w:lastRow="0" w:firstColumn="1" w:lastColumn="0" w:noHBand="0" w:noVBand="1"/>
      </w:tblPr>
      <w:tblGrid>
        <w:gridCol w:w="4508"/>
        <w:gridCol w:w="4508"/>
      </w:tblGrid>
      <w:tr w:rsidR="00BD047C" w14:paraId="35FB21B1" w14:textId="77777777" w:rsidTr="00BD047C">
        <w:tc>
          <w:tcPr>
            <w:tcW w:w="4508" w:type="dxa"/>
            <w:shd w:val="clear" w:color="auto" w:fill="00B0F0"/>
          </w:tcPr>
          <w:p w14:paraId="318A008A" w14:textId="61B948AA" w:rsidR="00BD047C" w:rsidRPr="00BD047C" w:rsidRDefault="00BD047C" w:rsidP="00BD047C">
            <w:pPr>
              <w:rPr>
                <w:b/>
                <w:bCs/>
              </w:rPr>
            </w:pPr>
            <w:r w:rsidRPr="00BD047C">
              <w:rPr>
                <w:b/>
                <w:bCs/>
              </w:rPr>
              <w:t>TYPE OF POLICY</w:t>
            </w:r>
          </w:p>
        </w:tc>
        <w:tc>
          <w:tcPr>
            <w:tcW w:w="4508" w:type="dxa"/>
          </w:tcPr>
          <w:p w14:paraId="16437C10" w14:textId="51DAD23C" w:rsidR="00BD047C" w:rsidRDefault="00BD047C" w:rsidP="00BD047C">
            <w:r>
              <w:t>Participation</w:t>
            </w:r>
          </w:p>
        </w:tc>
      </w:tr>
      <w:tr w:rsidR="00BD047C" w14:paraId="2EE5BC64" w14:textId="77777777" w:rsidTr="00BD047C">
        <w:tc>
          <w:tcPr>
            <w:tcW w:w="4508" w:type="dxa"/>
            <w:shd w:val="clear" w:color="auto" w:fill="00B0F0"/>
          </w:tcPr>
          <w:p w14:paraId="7E485FC2" w14:textId="40F71C84" w:rsidR="00BD047C" w:rsidRPr="00BD047C" w:rsidRDefault="00BD047C" w:rsidP="00BD047C">
            <w:pPr>
              <w:rPr>
                <w:b/>
                <w:bCs/>
              </w:rPr>
            </w:pPr>
            <w:r w:rsidRPr="00BD047C">
              <w:rPr>
                <w:b/>
                <w:bCs/>
              </w:rPr>
              <w:t>EFFECTIVE DATE</w:t>
            </w:r>
          </w:p>
        </w:tc>
        <w:tc>
          <w:tcPr>
            <w:tcW w:w="4508" w:type="dxa"/>
          </w:tcPr>
          <w:p w14:paraId="398E9B39" w14:textId="5EE019D7" w:rsidR="00BD047C" w:rsidRDefault="00BD047C" w:rsidP="00BD047C">
            <w:r>
              <w:t>April 2021</w:t>
            </w:r>
          </w:p>
        </w:tc>
      </w:tr>
      <w:tr w:rsidR="00BD047C" w14:paraId="46801543" w14:textId="77777777" w:rsidTr="00BD047C">
        <w:tc>
          <w:tcPr>
            <w:tcW w:w="4508" w:type="dxa"/>
            <w:shd w:val="clear" w:color="auto" w:fill="00B0F0"/>
          </w:tcPr>
          <w:p w14:paraId="3E790445" w14:textId="15513571" w:rsidR="00BD047C" w:rsidRPr="00BD047C" w:rsidRDefault="00BD047C" w:rsidP="00BD047C">
            <w:pPr>
              <w:rPr>
                <w:b/>
                <w:bCs/>
              </w:rPr>
            </w:pPr>
            <w:r w:rsidRPr="00BD047C">
              <w:rPr>
                <w:b/>
                <w:bCs/>
              </w:rPr>
              <w:t>POLICY OWNER</w:t>
            </w:r>
          </w:p>
        </w:tc>
        <w:tc>
          <w:tcPr>
            <w:tcW w:w="4508" w:type="dxa"/>
          </w:tcPr>
          <w:p w14:paraId="43A5B0E5" w14:textId="0586A15C" w:rsidR="00BD047C" w:rsidRDefault="00BD047C" w:rsidP="00BD047C">
            <w:r>
              <w:t>Derwent Hockey Club</w:t>
            </w:r>
          </w:p>
        </w:tc>
      </w:tr>
      <w:tr w:rsidR="00BD047C" w14:paraId="756FE324" w14:textId="77777777" w:rsidTr="00BD047C">
        <w:tc>
          <w:tcPr>
            <w:tcW w:w="4508" w:type="dxa"/>
            <w:shd w:val="clear" w:color="auto" w:fill="00B0F0"/>
          </w:tcPr>
          <w:p w14:paraId="3ABC7D89" w14:textId="41C6E5B0" w:rsidR="00BD047C" w:rsidRPr="00BD047C" w:rsidRDefault="00BD047C" w:rsidP="00BD047C">
            <w:pPr>
              <w:rPr>
                <w:b/>
                <w:bCs/>
              </w:rPr>
            </w:pPr>
            <w:r w:rsidRPr="00BD047C">
              <w:rPr>
                <w:b/>
                <w:bCs/>
              </w:rPr>
              <w:t>POLICY CONTACT</w:t>
            </w:r>
          </w:p>
        </w:tc>
        <w:tc>
          <w:tcPr>
            <w:tcW w:w="4508" w:type="dxa"/>
          </w:tcPr>
          <w:p w14:paraId="6C28D492" w14:textId="39436662" w:rsidR="00BD047C" w:rsidRDefault="00BD047C" w:rsidP="00BD047C">
            <w:r>
              <w:t>Derwent Hockey Club - Secretary</w:t>
            </w:r>
          </w:p>
        </w:tc>
      </w:tr>
    </w:tbl>
    <w:p w14:paraId="40641948" w14:textId="53D300C1" w:rsidR="00BD047C" w:rsidRDefault="00BD047C" w:rsidP="00BD047C"/>
    <w:p w14:paraId="60D0DD07" w14:textId="23711F3D" w:rsidR="00BD047C" w:rsidRDefault="00BD047C" w:rsidP="002C621C">
      <w:pPr>
        <w:pStyle w:val="Heading2"/>
        <w:rPr>
          <w:b/>
          <w:bCs/>
        </w:rPr>
      </w:pPr>
      <w:r w:rsidRPr="002C621C">
        <w:rPr>
          <w:b/>
          <w:bCs/>
        </w:rPr>
        <w:t>REASON FOR POLICY</w:t>
      </w:r>
    </w:p>
    <w:p w14:paraId="1B73FF5B" w14:textId="0CCCE438" w:rsidR="00B51BB2" w:rsidRPr="00B51BB2" w:rsidRDefault="00B51BB2" w:rsidP="0009183E">
      <w:pPr>
        <w:spacing w:line="240" w:lineRule="auto"/>
        <w:jc w:val="both"/>
        <w:rPr>
          <w:rFonts w:ascii="Arial" w:hAnsi="Arial" w:cs="Arial"/>
        </w:rPr>
      </w:pPr>
      <w:r w:rsidRPr="00B51BB2">
        <w:rPr>
          <w:rFonts w:ascii="Arial" w:hAnsi="Arial" w:cs="Arial"/>
        </w:rPr>
        <w:t xml:space="preserve">To reduce the likelihood of harm to </w:t>
      </w:r>
      <w:r w:rsidR="0009183E">
        <w:rPr>
          <w:rFonts w:ascii="Arial" w:hAnsi="Arial" w:cs="Arial"/>
        </w:rPr>
        <w:t xml:space="preserve">vulnerable people </w:t>
      </w:r>
      <w:r w:rsidRPr="00B51BB2">
        <w:rPr>
          <w:rFonts w:ascii="Arial" w:hAnsi="Arial" w:cs="Arial"/>
        </w:rPr>
        <w:t xml:space="preserve">and to create safer environments for all </w:t>
      </w:r>
      <w:r w:rsidR="0009183E">
        <w:rPr>
          <w:rFonts w:ascii="Arial" w:hAnsi="Arial" w:cs="Arial"/>
        </w:rPr>
        <w:t>vulnerable persons</w:t>
      </w:r>
      <w:r w:rsidRPr="00B51BB2">
        <w:rPr>
          <w:rFonts w:ascii="Arial" w:hAnsi="Arial" w:cs="Arial"/>
        </w:rPr>
        <w:t xml:space="preserve">. This places compliance obligations on the Derwent Hockey Club, and those within the club who undertake activities with our </w:t>
      </w:r>
      <w:r w:rsidR="0009183E">
        <w:rPr>
          <w:rFonts w:ascii="Arial" w:hAnsi="Arial" w:cs="Arial"/>
        </w:rPr>
        <w:t>vulnerable</w:t>
      </w:r>
      <w:r w:rsidRPr="00B51BB2">
        <w:rPr>
          <w:rFonts w:ascii="Arial" w:hAnsi="Arial" w:cs="Arial"/>
        </w:rPr>
        <w:t xml:space="preserve"> members.</w:t>
      </w:r>
    </w:p>
    <w:p w14:paraId="611964A2" w14:textId="58624D34" w:rsidR="00BD047C" w:rsidRDefault="00BD047C" w:rsidP="0009183E">
      <w:pPr>
        <w:pStyle w:val="Heading2"/>
        <w:jc w:val="both"/>
        <w:rPr>
          <w:b/>
          <w:bCs/>
        </w:rPr>
      </w:pPr>
      <w:r w:rsidRPr="002C621C">
        <w:rPr>
          <w:b/>
          <w:bCs/>
        </w:rPr>
        <w:t>POLICY STATEMENT</w:t>
      </w:r>
    </w:p>
    <w:p w14:paraId="4E38AE97" w14:textId="409FE0F9" w:rsidR="00A61E8B" w:rsidRPr="00A61E8B" w:rsidRDefault="00A61E8B" w:rsidP="0009183E">
      <w:pPr>
        <w:jc w:val="both"/>
        <w:rPr>
          <w:rFonts w:ascii="Arial" w:hAnsi="Arial" w:cs="Arial"/>
        </w:rPr>
      </w:pPr>
      <w:r w:rsidRPr="00A61E8B">
        <w:rPr>
          <w:rFonts w:ascii="Arial" w:hAnsi="Arial" w:cs="Arial"/>
        </w:rPr>
        <w:t xml:space="preserve">The intent of this policy is to ensure that members of the Derwent Hockey Club are aware of the </w:t>
      </w:r>
      <w:r w:rsidRPr="00A61E8B">
        <w:rPr>
          <w:rFonts w:ascii="Arial" w:hAnsi="Arial" w:cs="Arial"/>
          <w:i/>
          <w:iCs/>
        </w:rPr>
        <w:t xml:space="preserve">Registration to Work with Vulnerable People Act (Tas) </w:t>
      </w:r>
      <w:r w:rsidRPr="00A61E8B">
        <w:rPr>
          <w:rFonts w:ascii="Arial" w:hAnsi="Arial" w:cs="Arial"/>
        </w:rPr>
        <w:t>2013</w:t>
      </w:r>
      <w:r>
        <w:rPr>
          <w:rFonts w:ascii="Arial" w:hAnsi="Arial" w:cs="Arial"/>
        </w:rPr>
        <w:t xml:space="preserve"> and the obligations this imposes on the club.</w:t>
      </w:r>
    </w:p>
    <w:p w14:paraId="7EAB6820" w14:textId="41F531FC" w:rsidR="00BD047C" w:rsidRDefault="00BD047C" w:rsidP="0009183E">
      <w:pPr>
        <w:pStyle w:val="Heading2"/>
        <w:jc w:val="both"/>
        <w:rPr>
          <w:b/>
          <w:bCs/>
        </w:rPr>
      </w:pPr>
      <w:r w:rsidRPr="002C621C">
        <w:rPr>
          <w:b/>
          <w:bCs/>
        </w:rPr>
        <w:t>SCOPE</w:t>
      </w:r>
    </w:p>
    <w:p w14:paraId="768B5B06" w14:textId="344EF2AE" w:rsidR="0009183E" w:rsidRPr="0009183E" w:rsidRDefault="0009183E" w:rsidP="0009183E">
      <w:pPr>
        <w:jc w:val="both"/>
        <w:rPr>
          <w:rFonts w:ascii="Arial" w:hAnsi="Arial" w:cs="Arial"/>
        </w:rPr>
      </w:pPr>
      <w:r w:rsidRPr="0009183E">
        <w:rPr>
          <w:rFonts w:ascii="Arial" w:hAnsi="Arial" w:cs="Arial"/>
        </w:rPr>
        <w:t>This policy applies to all members of the Derwent Hockey Club who perform roles which place them in contact with vulnerable people within the club.</w:t>
      </w:r>
    </w:p>
    <w:p w14:paraId="64039D30" w14:textId="76F8BDD7" w:rsidR="00BD047C" w:rsidRDefault="00BD047C" w:rsidP="0009183E">
      <w:pPr>
        <w:pStyle w:val="Heading2"/>
        <w:jc w:val="both"/>
        <w:rPr>
          <w:b/>
          <w:bCs/>
        </w:rPr>
      </w:pPr>
      <w:r w:rsidRPr="002C621C">
        <w:rPr>
          <w:b/>
          <w:bCs/>
        </w:rPr>
        <w:t>DEFINITIONS</w:t>
      </w:r>
    </w:p>
    <w:p w14:paraId="01A74284" w14:textId="77777777" w:rsidR="00A61E8B" w:rsidRPr="00B51BB2" w:rsidRDefault="00A61E8B" w:rsidP="0009183E">
      <w:pPr>
        <w:spacing w:after="0" w:line="240" w:lineRule="auto"/>
        <w:jc w:val="both"/>
        <w:rPr>
          <w:rFonts w:ascii="Arial" w:eastAsia="Times New Roman" w:hAnsi="Arial" w:cs="Arial"/>
          <w:lang w:eastAsia="en-AU"/>
        </w:rPr>
      </w:pPr>
      <w:r w:rsidRPr="00B51BB2">
        <w:rPr>
          <w:rFonts w:ascii="Arial" w:eastAsia="Times New Roman" w:hAnsi="Arial" w:cs="Arial"/>
          <w:b/>
          <w:bCs/>
          <w:i/>
          <w:iCs/>
          <w:color w:val="000000"/>
          <w:shd w:val="clear" w:color="auto" w:fill="FFFFFF"/>
          <w:lang w:eastAsia="en-AU"/>
        </w:rPr>
        <w:t>vulnerable person</w:t>
      </w:r>
      <w:r w:rsidRPr="00B51BB2">
        <w:rPr>
          <w:rFonts w:ascii="Arial" w:eastAsia="Times New Roman" w:hAnsi="Arial" w:cs="Arial"/>
          <w:color w:val="000000"/>
          <w:shd w:val="clear" w:color="auto" w:fill="FFFFFF"/>
          <w:lang w:eastAsia="en-AU"/>
        </w:rPr>
        <w:t> means –</w:t>
      </w:r>
      <w:bookmarkStart w:id="0" w:name="GS4@Nd172013505214@Hpa@EN"/>
      <w:bookmarkEnd w:id="0"/>
    </w:p>
    <w:p w14:paraId="08AF71B0" w14:textId="77777777" w:rsidR="00A61E8B" w:rsidRPr="00B51BB2" w:rsidRDefault="00A61E8B" w:rsidP="0009183E">
      <w:pPr>
        <w:shd w:val="clear" w:color="auto" w:fill="FFFFFF"/>
        <w:spacing w:after="120" w:line="240" w:lineRule="auto"/>
        <w:ind w:left="567"/>
        <w:jc w:val="both"/>
        <w:rPr>
          <w:rFonts w:ascii="Arial" w:eastAsia="Times New Roman" w:hAnsi="Arial" w:cs="Arial"/>
          <w:color w:val="000000"/>
          <w:lang w:eastAsia="en-AU"/>
        </w:rPr>
      </w:pPr>
      <w:r w:rsidRPr="00B51BB2">
        <w:rPr>
          <w:rFonts w:ascii="Arial" w:eastAsia="Times New Roman" w:hAnsi="Arial" w:cs="Arial"/>
          <w:color w:val="000000"/>
          <w:lang w:eastAsia="en-AU"/>
        </w:rPr>
        <w:t>(a) a child; or</w:t>
      </w:r>
    </w:p>
    <w:p w14:paraId="4DA9151A" w14:textId="77777777" w:rsidR="00A61E8B" w:rsidRPr="00B51BB2" w:rsidRDefault="00A61E8B" w:rsidP="0009183E">
      <w:pPr>
        <w:shd w:val="clear" w:color="auto" w:fill="FFFFFF"/>
        <w:spacing w:after="120" w:line="240" w:lineRule="auto"/>
        <w:ind w:left="567"/>
        <w:jc w:val="both"/>
        <w:rPr>
          <w:rFonts w:ascii="Arial" w:eastAsia="Times New Roman" w:hAnsi="Arial" w:cs="Arial"/>
          <w:color w:val="000000"/>
          <w:lang w:eastAsia="en-AU"/>
        </w:rPr>
      </w:pPr>
      <w:bookmarkStart w:id="1" w:name="GS4@Nd172013505214@Hpb@EN"/>
      <w:bookmarkEnd w:id="1"/>
      <w:r w:rsidRPr="00B51BB2">
        <w:rPr>
          <w:rFonts w:ascii="Arial" w:eastAsia="Times New Roman" w:hAnsi="Arial" w:cs="Arial"/>
          <w:color w:val="000000"/>
          <w:lang w:eastAsia="en-AU"/>
        </w:rPr>
        <w:t>(b) an adult in respect of whom a regulated activity is provided.</w:t>
      </w:r>
    </w:p>
    <w:p w14:paraId="63D408CB" w14:textId="77777777" w:rsidR="00A61E8B" w:rsidRDefault="00A61E8B" w:rsidP="0009183E">
      <w:pPr>
        <w:spacing w:after="0" w:line="240" w:lineRule="auto"/>
        <w:jc w:val="both"/>
        <w:rPr>
          <w:b/>
          <w:bCs/>
          <w:i/>
          <w:iCs/>
          <w:color w:val="000000"/>
          <w:sz w:val="25"/>
          <w:szCs w:val="25"/>
          <w:shd w:val="clear" w:color="auto" w:fill="FFFFFF"/>
        </w:rPr>
      </w:pPr>
    </w:p>
    <w:p w14:paraId="76827C3B" w14:textId="6A9B5335" w:rsidR="00A61E8B" w:rsidRDefault="00A61E8B" w:rsidP="0009183E">
      <w:pPr>
        <w:spacing w:after="0" w:line="240" w:lineRule="auto"/>
        <w:jc w:val="both"/>
        <w:rPr>
          <w:color w:val="000000"/>
          <w:sz w:val="25"/>
          <w:szCs w:val="25"/>
          <w:shd w:val="clear" w:color="auto" w:fill="FFFFFF"/>
        </w:rPr>
      </w:pPr>
      <w:r>
        <w:rPr>
          <w:b/>
          <w:bCs/>
          <w:i/>
          <w:iCs/>
          <w:color w:val="000000"/>
          <w:sz w:val="25"/>
          <w:szCs w:val="25"/>
          <w:shd w:val="clear" w:color="auto" w:fill="FFFFFF"/>
        </w:rPr>
        <w:t>child</w:t>
      </w:r>
      <w:r>
        <w:rPr>
          <w:color w:val="000000"/>
          <w:sz w:val="25"/>
          <w:szCs w:val="25"/>
          <w:shd w:val="clear" w:color="auto" w:fill="FFFFFF"/>
        </w:rPr>
        <w:t> means a person who has not attained the age of 18 years.</w:t>
      </w:r>
    </w:p>
    <w:p w14:paraId="2A13E0FD" w14:textId="77777777" w:rsidR="00A61E8B" w:rsidRDefault="00A61E8B" w:rsidP="0009183E">
      <w:pPr>
        <w:spacing w:after="0" w:line="240" w:lineRule="auto"/>
        <w:jc w:val="both"/>
        <w:rPr>
          <w:color w:val="000000"/>
          <w:sz w:val="25"/>
          <w:szCs w:val="25"/>
          <w:shd w:val="clear" w:color="auto" w:fill="FFFFFF"/>
        </w:rPr>
      </w:pPr>
    </w:p>
    <w:p w14:paraId="44222F04" w14:textId="77777777" w:rsidR="00A61E8B" w:rsidRDefault="00A61E8B" w:rsidP="0009183E">
      <w:pPr>
        <w:spacing w:after="0" w:line="240" w:lineRule="auto"/>
        <w:jc w:val="both"/>
        <w:rPr>
          <w:rFonts w:ascii="Arial" w:hAnsi="Arial" w:cs="Arial"/>
        </w:rPr>
      </w:pPr>
      <w:r w:rsidRPr="00A61E8B">
        <w:rPr>
          <w:rFonts w:ascii="Arial" w:hAnsi="Arial" w:cs="Arial"/>
          <w:b/>
          <w:bCs/>
          <w:i/>
          <w:iCs/>
        </w:rPr>
        <w:t>A regulated activity in relation to club or association activity</w:t>
      </w:r>
      <w:r w:rsidRPr="00A61E8B">
        <w:rPr>
          <w:rFonts w:ascii="Arial" w:hAnsi="Arial" w:cs="Arial"/>
        </w:rPr>
        <w:t xml:space="preserve"> is a cultural, recreational, sporting or community activity or service provided primarily for children by a club, association, movement, society or other similar </w:t>
      </w:r>
      <w:proofErr w:type="gramStart"/>
      <w:r w:rsidRPr="00A61E8B">
        <w:rPr>
          <w:rFonts w:ascii="Arial" w:hAnsi="Arial" w:cs="Arial"/>
        </w:rPr>
        <w:t>body;</w:t>
      </w:r>
      <w:proofErr w:type="gramEnd"/>
      <w:r w:rsidRPr="00A61E8B">
        <w:rPr>
          <w:rFonts w:ascii="Arial" w:hAnsi="Arial" w:cs="Arial"/>
        </w:rPr>
        <w:t xml:space="preserve"> </w:t>
      </w:r>
    </w:p>
    <w:p w14:paraId="38ED500F" w14:textId="77777777" w:rsidR="00A61E8B" w:rsidRDefault="00A61E8B" w:rsidP="0009183E">
      <w:pPr>
        <w:spacing w:after="0" w:line="240" w:lineRule="auto"/>
        <w:jc w:val="both"/>
        <w:rPr>
          <w:rFonts w:ascii="Arial" w:hAnsi="Arial" w:cs="Arial"/>
        </w:rPr>
      </w:pPr>
    </w:p>
    <w:p w14:paraId="430CD4CC" w14:textId="77777777" w:rsidR="00A61E8B" w:rsidRDefault="00A61E8B" w:rsidP="0009183E">
      <w:pPr>
        <w:spacing w:after="0" w:line="240" w:lineRule="auto"/>
        <w:jc w:val="both"/>
        <w:rPr>
          <w:rFonts w:ascii="Arial" w:hAnsi="Arial" w:cs="Arial"/>
        </w:rPr>
      </w:pPr>
      <w:r w:rsidRPr="00A61E8B">
        <w:rPr>
          <w:rFonts w:ascii="Arial" w:hAnsi="Arial" w:cs="Arial"/>
          <w:b/>
          <w:bCs/>
          <w:i/>
          <w:iCs/>
        </w:rPr>
        <w:t>Contact between a person and a vulnerable person as part of taking part in a regulated activity</w:t>
      </w:r>
      <w:r w:rsidRPr="00A61E8B">
        <w:rPr>
          <w:rFonts w:ascii="Arial" w:hAnsi="Arial" w:cs="Arial"/>
        </w:rPr>
        <w:t xml:space="preserve">, means contact that </w:t>
      </w:r>
    </w:p>
    <w:p w14:paraId="357565B2" w14:textId="77777777" w:rsidR="00A61E8B" w:rsidRDefault="00A61E8B" w:rsidP="0009183E">
      <w:pPr>
        <w:spacing w:after="0" w:line="240" w:lineRule="auto"/>
        <w:ind w:left="567"/>
        <w:jc w:val="both"/>
        <w:rPr>
          <w:rFonts w:ascii="Arial" w:hAnsi="Arial" w:cs="Arial"/>
        </w:rPr>
      </w:pPr>
      <w:r w:rsidRPr="00A61E8B">
        <w:rPr>
          <w:rFonts w:ascii="Arial" w:hAnsi="Arial" w:cs="Arial"/>
        </w:rPr>
        <w:t xml:space="preserve">(a) would reasonably be expected as a normal part of taking part in the regulated activity; and </w:t>
      </w:r>
    </w:p>
    <w:p w14:paraId="5373E02F" w14:textId="77777777" w:rsidR="00A61E8B" w:rsidRDefault="00A61E8B" w:rsidP="0009183E">
      <w:pPr>
        <w:spacing w:after="0" w:line="240" w:lineRule="auto"/>
        <w:ind w:left="567"/>
        <w:jc w:val="both"/>
        <w:rPr>
          <w:rFonts w:ascii="Arial" w:hAnsi="Arial" w:cs="Arial"/>
        </w:rPr>
      </w:pPr>
      <w:r w:rsidRPr="00A61E8B">
        <w:rPr>
          <w:rFonts w:ascii="Arial" w:hAnsi="Arial" w:cs="Arial"/>
        </w:rPr>
        <w:t xml:space="preserve">(b) is not incidental to taking part in the regulated activity; and </w:t>
      </w:r>
    </w:p>
    <w:p w14:paraId="1A31B8F0" w14:textId="77777777" w:rsidR="00A61E8B" w:rsidRDefault="00A61E8B" w:rsidP="0009183E">
      <w:pPr>
        <w:spacing w:after="0" w:line="240" w:lineRule="auto"/>
        <w:ind w:left="567"/>
        <w:jc w:val="both"/>
        <w:rPr>
          <w:rFonts w:ascii="Arial" w:hAnsi="Arial" w:cs="Arial"/>
        </w:rPr>
      </w:pPr>
      <w:r w:rsidRPr="00A61E8B">
        <w:rPr>
          <w:rFonts w:ascii="Arial" w:hAnsi="Arial" w:cs="Arial"/>
        </w:rPr>
        <w:t xml:space="preserve">(c) is one or more of the following: </w:t>
      </w:r>
    </w:p>
    <w:p w14:paraId="448F72CF" w14:textId="3C701254" w:rsidR="00A61E8B" w:rsidRDefault="00A61E8B" w:rsidP="00A61E8B">
      <w:pPr>
        <w:spacing w:after="0" w:line="240" w:lineRule="auto"/>
        <w:ind w:left="851"/>
        <w:rPr>
          <w:rFonts w:ascii="Arial" w:hAnsi="Arial" w:cs="Arial"/>
        </w:rPr>
      </w:pPr>
      <w:r w:rsidRPr="00A61E8B">
        <w:rPr>
          <w:rFonts w:ascii="Arial" w:hAnsi="Arial" w:cs="Arial"/>
        </w:rPr>
        <w:lastRenderedPageBreak/>
        <w:t>(</w:t>
      </w:r>
      <w:proofErr w:type="spellStart"/>
      <w:r w:rsidRPr="00A61E8B">
        <w:rPr>
          <w:rFonts w:ascii="Arial" w:hAnsi="Arial" w:cs="Arial"/>
        </w:rPr>
        <w:t>i</w:t>
      </w:r>
      <w:proofErr w:type="spellEnd"/>
      <w:r w:rsidRPr="00A61E8B">
        <w:rPr>
          <w:rFonts w:ascii="Arial" w:hAnsi="Arial" w:cs="Arial"/>
        </w:rPr>
        <w:t>) physical contact, including taking part in the regulated activity at the same place as the vulnerable person</w:t>
      </w:r>
      <w:r>
        <w:rPr>
          <w:rFonts w:ascii="Arial" w:hAnsi="Arial" w:cs="Arial"/>
        </w:rPr>
        <w:t>.,</w:t>
      </w:r>
    </w:p>
    <w:p w14:paraId="441FC195" w14:textId="0FE04C28" w:rsidR="00A61E8B" w:rsidRDefault="00A61E8B" w:rsidP="00A61E8B">
      <w:pPr>
        <w:spacing w:after="0" w:line="240" w:lineRule="auto"/>
        <w:ind w:left="851"/>
        <w:rPr>
          <w:rFonts w:ascii="Arial" w:hAnsi="Arial" w:cs="Arial"/>
        </w:rPr>
      </w:pPr>
      <w:r w:rsidRPr="00A61E8B">
        <w:rPr>
          <w:rFonts w:ascii="Arial" w:hAnsi="Arial" w:cs="Arial"/>
        </w:rPr>
        <w:t>(ii) oral communication, whether face-to-face or by telephone</w:t>
      </w:r>
      <w:r>
        <w:rPr>
          <w:rFonts w:ascii="Arial" w:hAnsi="Arial" w:cs="Arial"/>
        </w:rPr>
        <w:t>.,</w:t>
      </w:r>
      <w:r w:rsidRPr="00A61E8B">
        <w:rPr>
          <w:rFonts w:ascii="Arial" w:hAnsi="Arial" w:cs="Arial"/>
        </w:rPr>
        <w:t xml:space="preserve"> </w:t>
      </w:r>
    </w:p>
    <w:p w14:paraId="40DE5CDC" w14:textId="115252D7" w:rsidR="00A61E8B" w:rsidRDefault="00A61E8B" w:rsidP="00A61E8B">
      <w:pPr>
        <w:spacing w:after="0" w:line="240" w:lineRule="auto"/>
        <w:ind w:left="851"/>
        <w:rPr>
          <w:rFonts w:ascii="Arial" w:hAnsi="Arial" w:cs="Arial"/>
        </w:rPr>
      </w:pPr>
      <w:r w:rsidRPr="00A61E8B">
        <w:rPr>
          <w:rFonts w:ascii="Arial" w:hAnsi="Arial" w:cs="Arial"/>
        </w:rPr>
        <w:t>(iii) written communication, including electronic communication.</w:t>
      </w:r>
    </w:p>
    <w:p w14:paraId="1E40B030" w14:textId="77777777" w:rsidR="00A61E8B" w:rsidRPr="00A61E8B" w:rsidRDefault="00A61E8B" w:rsidP="00B51BB2">
      <w:pPr>
        <w:spacing w:after="0" w:line="240" w:lineRule="auto"/>
        <w:rPr>
          <w:rFonts w:ascii="Arial" w:eastAsia="Times New Roman" w:hAnsi="Arial" w:cs="Arial"/>
          <w:b/>
          <w:bCs/>
          <w:i/>
          <w:iCs/>
          <w:color w:val="000000"/>
          <w:shd w:val="clear" w:color="auto" w:fill="FFFFFF"/>
          <w:lang w:eastAsia="en-AU"/>
        </w:rPr>
      </w:pPr>
    </w:p>
    <w:p w14:paraId="47305623" w14:textId="2504B5C6" w:rsidR="002C621C" w:rsidRPr="002C621C" w:rsidRDefault="00BD047C" w:rsidP="002C621C">
      <w:pPr>
        <w:pStyle w:val="Heading2"/>
        <w:rPr>
          <w:b/>
          <w:bCs/>
        </w:rPr>
      </w:pPr>
      <w:r w:rsidRPr="002C621C">
        <w:rPr>
          <w:b/>
          <w:bCs/>
        </w:rPr>
        <w:t>POLICY HISTORY</w:t>
      </w:r>
    </w:p>
    <w:tbl>
      <w:tblPr>
        <w:tblStyle w:val="TableGrid"/>
        <w:tblW w:w="0" w:type="auto"/>
        <w:tblInd w:w="-5" w:type="dxa"/>
        <w:tblLook w:val="04A0" w:firstRow="1" w:lastRow="0" w:firstColumn="1" w:lastColumn="0" w:noHBand="0" w:noVBand="1"/>
      </w:tblPr>
      <w:tblGrid>
        <w:gridCol w:w="3261"/>
        <w:gridCol w:w="1460"/>
        <w:gridCol w:w="2149"/>
        <w:gridCol w:w="2151"/>
      </w:tblGrid>
      <w:tr w:rsidR="00BD047C" w14:paraId="7FC92BE5" w14:textId="77777777" w:rsidTr="002C621C">
        <w:tc>
          <w:tcPr>
            <w:tcW w:w="3261" w:type="dxa"/>
            <w:shd w:val="clear" w:color="auto" w:fill="00B0F0"/>
          </w:tcPr>
          <w:p w14:paraId="2EEE897B" w14:textId="084E6669" w:rsidR="00BD047C" w:rsidRPr="002C621C" w:rsidRDefault="00BD047C" w:rsidP="002C621C">
            <w:pPr>
              <w:jc w:val="center"/>
              <w:rPr>
                <w:b/>
                <w:bCs/>
              </w:rPr>
            </w:pPr>
            <w:r w:rsidRPr="002C621C">
              <w:rPr>
                <w:b/>
                <w:bCs/>
              </w:rPr>
              <w:t>PARTICIPATION POLICY – NAME</w:t>
            </w:r>
          </w:p>
        </w:tc>
        <w:tc>
          <w:tcPr>
            <w:tcW w:w="1460" w:type="dxa"/>
            <w:shd w:val="clear" w:color="auto" w:fill="00B0F0"/>
          </w:tcPr>
          <w:p w14:paraId="101CF4A6" w14:textId="48735AA8" w:rsidR="00BD047C" w:rsidRPr="002C621C" w:rsidRDefault="00BD047C" w:rsidP="002C621C">
            <w:pPr>
              <w:jc w:val="center"/>
              <w:rPr>
                <w:b/>
                <w:bCs/>
              </w:rPr>
            </w:pPr>
            <w:r w:rsidRPr="002C621C">
              <w:rPr>
                <w:b/>
                <w:bCs/>
              </w:rPr>
              <w:t>VERSION</w:t>
            </w:r>
          </w:p>
        </w:tc>
        <w:tc>
          <w:tcPr>
            <w:tcW w:w="2149" w:type="dxa"/>
            <w:shd w:val="clear" w:color="auto" w:fill="00B0F0"/>
          </w:tcPr>
          <w:p w14:paraId="41E24A4A" w14:textId="2C5F8E24" w:rsidR="00BD047C" w:rsidRPr="002C621C" w:rsidRDefault="00BD047C" w:rsidP="002C621C">
            <w:pPr>
              <w:jc w:val="center"/>
              <w:rPr>
                <w:b/>
                <w:bCs/>
              </w:rPr>
            </w:pPr>
            <w:r w:rsidRPr="002C621C">
              <w:rPr>
                <w:b/>
                <w:bCs/>
              </w:rPr>
              <w:t>RELEASE DATE</w:t>
            </w:r>
          </w:p>
        </w:tc>
        <w:tc>
          <w:tcPr>
            <w:tcW w:w="2151" w:type="dxa"/>
            <w:shd w:val="clear" w:color="auto" w:fill="00B0F0"/>
          </w:tcPr>
          <w:p w14:paraId="2148C563" w14:textId="65A9F9AB" w:rsidR="00BD047C" w:rsidRPr="002C621C" w:rsidRDefault="00BD047C" w:rsidP="002C621C">
            <w:pPr>
              <w:jc w:val="center"/>
              <w:rPr>
                <w:b/>
                <w:bCs/>
              </w:rPr>
            </w:pPr>
            <w:r w:rsidRPr="002C621C">
              <w:rPr>
                <w:b/>
                <w:bCs/>
              </w:rPr>
              <w:t>AUTHOR</w:t>
            </w:r>
          </w:p>
        </w:tc>
      </w:tr>
      <w:tr w:rsidR="00BD047C" w14:paraId="6C2760C3" w14:textId="77777777" w:rsidTr="002C621C">
        <w:tc>
          <w:tcPr>
            <w:tcW w:w="3261" w:type="dxa"/>
          </w:tcPr>
          <w:p w14:paraId="63A5F496" w14:textId="0940E9EA" w:rsidR="00BD047C" w:rsidRDefault="002C621C" w:rsidP="00BD047C">
            <w:r>
              <w:t xml:space="preserve">Working With </w:t>
            </w:r>
            <w:r w:rsidR="00FB60EF">
              <w:t>Vulnerable People</w:t>
            </w:r>
            <w:r>
              <w:t xml:space="preserve"> Policy</w:t>
            </w:r>
          </w:p>
        </w:tc>
        <w:tc>
          <w:tcPr>
            <w:tcW w:w="1460" w:type="dxa"/>
          </w:tcPr>
          <w:p w14:paraId="70A51D31" w14:textId="63143429" w:rsidR="00BD047C" w:rsidRDefault="002C621C" w:rsidP="00BD047C">
            <w:r>
              <w:t>1</w:t>
            </w:r>
          </w:p>
        </w:tc>
        <w:tc>
          <w:tcPr>
            <w:tcW w:w="2149" w:type="dxa"/>
          </w:tcPr>
          <w:p w14:paraId="095DE6ED" w14:textId="47E04404" w:rsidR="00BD047C" w:rsidRDefault="002C621C" w:rsidP="00BD047C">
            <w:r>
              <w:t>April 2021</w:t>
            </w:r>
          </w:p>
        </w:tc>
        <w:tc>
          <w:tcPr>
            <w:tcW w:w="2151" w:type="dxa"/>
          </w:tcPr>
          <w:p w14:paraId="7270CAF7" w14:textId="1C2E148B" w:rsidR="00BD047C" w:rsidRDefault="0009183E" w:rsidP="00BD047C">
            <w:r>
              <w:t>DHC Committee</w:t>
            </w:r>
          </w:p>
        </w:tc>
      </w:tr>
    </w:tbl>
    <w:p w14:paraId="07C98A59" w14:textId="40AE3511" w:rsidR="00BD047C" w:rsidRDefault="00BD047C" w:rsidP="00BD047C">
      <w:pPr>
        <w:ind w:left="360"/>
      </w:pPr>
    </w:p>
    <w:p w14:paraId="4D5CDE03" w14:textId="05D1C325" w:rsidR="002C621C" w:rsidRDefault="002C621C" w:rsidP="002C621C">
      <w:pPr>
        <w:pStyle w:val="Heading2"/>
        <w:rPr>
          <w:b/>
          <w:bCs/>
        </w:rPr>
      </w:pPr>
      <w:r w:rsidRPr="002C621C">
        <w:rPr>
          <w:b/>
          <w:bCs/>
        </w:rPr>
        <w:t>BACKGROUND</w:t>
      </w:r>
    </w:p>
    <w:p w14:paraId="7E02256D" w14:textId="6C639B65" w:rsidR="00B51BB2" w:rsidRDefault="00B51BB2" w:rsidP="002C621C">
      <w:pPr>
        <w:spacing w:line="240" w:lineRule="auto"/>
        <w:rPr>
          <w:rFonts w:ascii="Arial" w:hAnsi="Arial" w:cs="Arial"/>
        </w:rPr>
      </w:pPr>
      <w:r>
        <w:rPr>
          <w:rFonts w:ascii="Arial" w:hAnsi="Arial" w:cs="Arial"/>
        </w:rPr>
        <w:t xml:space="preserve">The </w:t>
      </w:r>
      <w:r>
        <w:rPr>
          <w:rFonts w:ascii="Arial" w:hAnsi="Arial" w:cs="Arial"/>
          <w:i/>
          <w:iCs/>
        </w:rPr>
        <w:t xml:space="preserve">Registration to Work with Vulnerable People Act </w:t>
      </w:r>
      <w:r w:rsidRPr="00B51BB2">
        <w:rPr>
          <w:rFonts w:ascii="Arial" w:hAnsi="Arial" w:cs="Arial"/>
          <w:i/>
          <w:iCs/>
        </w:rPr>
        <w:t>(Tas)</w:t>
      </w:r>
      <w:r>
        <w:rPr>
          <w:rFonts w:ascii="Arial" w:hAnsi="Arial" w:cs="Arial"/>
          <w:i/>
          <w:iCs/>
        </w:rPr>
        <w:t xml:space="preserve"> </w:t>
      </w:r>
      <w:r>
        <w:rPr>
          <w:rFonts w:ascii="Arial" w:hAnsi="Arial" w:cs="Arial"/>
        </w:rPr>
        <w:t>2013 was introduced to provide for background checking and registration of people who work with vulnerable people. The object of the Act is to protect vulnerable persons from the risk of harm by –</w:t>
      </w:r>
    </w:p>
    <w:p w14:paraId="11E10F40" w14:textId="77777777" w:rsidR="00B51BB2" w:rsidRPr="00B51BB2" w:rsidRDefault="00B51BB2" w:rsidP="00B51BB2">
      <w:pPr>
        <w:shd w:val="clear" w:color="auto" w:fill="FFFFFF"/>
        <w:spacing w:after="120" w:line="240" w:lineRule="auto"/>
        <w:ind w:left="567"/>
        <w:rPr>
          <w:rFonts w:ascii="Arial" w:eastAsia="Times New Roman" w:hAnsi="Arial" w:cs="Arial"/>
          <w:color w:val="000000"/>
          <w:lang w:eastAsia="en-AU"/>
        </w:rPr>
      </w:pPr>
      <w:r w:rsidRPr="00B51BB2">
        <w:rPr>
          <w:rFonts w:ascii="Arial" w:eastAsia="Times New Roman" w:hAnsi="Arial" w:cs="Arial"/>
          <w:color w:val="000000"/>
          <w:lang w:eastAsia="en-AU"/>
        </w:rPr>
        <w:t>(a) preventing certain people from engaging in regulated activities; and</w:t>
      </w:r>
    </w:p>
    <w:p w14:paraId="0212D675" w14:textId="77777777" w:rsidR="00B51BB2" w:rsidRPr="00B51BB2" w:rsidRDefault="00B51BB2" w:rsidP="00B51BB2">
      <w:pPr>
        <w:shd w:val="clear" w:color="auto" w:fill="FFFFFF"/>
        <w:spacing w:after="120" w:line="240" w:lineRule="auto"/>
        <w:ind w:left="567"/>
        <w:rPr>
          <w:rFonts w:ascii="Arial" w:eastAsia="Times New Roman" w:hAnsi="Arial" w:cs="Arial"/>
          <w:color w:val="000000"/>
          <w:lang w:eastAsia="en-AU"/>
        </w:rPr>
      </w:pPr>
      <w:bookmarkStart w:id="2" w:name="GS2A@Hpb@EN"/>
      <w:bookmarkEnd w:id="2"/>
      <w:r w:rsidRPr="00B51BB2">
        <w:rPr>
          <w:rFonts w:ascii="Arial" w:eastAsia="Times New Roman" w:hAnsi="Arial" w:cs="Arial"/>
          <w:color w:val="000000"/>
          <w:lang w:eastAsia="en-AU"/>
        </w:rPr>
        <w:t>(b) requiring persons engaged in regulated activities to be registered; and</w:t>
      </w:r>
    </w:p>
    <w:p w14:paraId="27B9EF91" w14:textId="77777777" w:rsidR="00B51BB2" w:rsidRPr="00B51BB2" w:rsidRDefault="00B51BB2" w:rsidP="00B51BB2">
      <w:pPr>
        <w:shd w:val="clear" w:color="auto" w:fill="FFFFFF"/>
        <w:spacing w:after="0" w:line="240" w:lineRule="auto"/>
        <w:ind w:left="567"/>
        <w:rPr>
          <w:rFonts w:ascii="Arial" w:eastAsia="Times New Roman" w:hAnsi="Arial" w:cs="Arial"/>
          <w:color w:val="000000"/>
          <w:lang w:eastAsia="en-AU"/>
        </w:rPr>
      </w:pPr>
      <w:bookmarkStart w:id="3" w:name="GS2A@Hpc@EN"/>
      <w:bookmarkEnd w:id="3"/>
      <w:r w:rsidRPr="00B51BB2">
        <w:rPr>
          <w:rFonts w:ascii="Arial" w:eastAsia="Times New Roman" w:hAnsi="Arial" w:cs="Arial"/>
          <w:color w:val="000000"/>
          <w:lang w:eastAsia="en-AU"/>
        </w:rPr>
        <w:t>(c) requiring risk assessments to be undertaken –</w:t>
      </w:r>
      <w:bookmarkStart w:id="4" w:name="GS2A@Hpc@Hqi@EN"/>
      <w:bookmarkEnd w:id="4"/>
    </w:p>
    <w:p w14:paraId="232855D6" w14:textId="77777777" w:rsidR="00B51BB2" w:rsidRPr="00B51BB2" w:rsidRDefault="00B51BB2" w:rsidP="00B51BB2">
      <w:pPr>
        <w:shd w:val="clear" w:color="auto" w:fill="FFFFFF"/>
        <w:spacing w:after="120" w:line="240" w:lineRule="auto"/>
        <w:ind w:left="851"/>
        <w:rPr>
          <w:rFonts w:ascii="Arial" w:eastAsia="Times New Roman" w:hAnsi="Arial" w:cs="Arial"/>
          <w:color w:val="000000"/>
          <w:lang w:eastAsia="en-AU"/>
        </w:rPr>
      </w:pPr>
      <w:r w:rsidRPr="00B51BB2">
        <w:rPr>
          <w:rFonts w:ascii="Arial" w:eastAsia="Times New Roman" w:hAnsi="Arial" w:cs="Arial"/>
          <w:color w:val="000000"/>
          <w:lang w:eastAsia="en-AU"/>
        </w:rPr>
        <w:t>(</w:t>
      </w:r>
      <w:proofErr w:type="spellStart"/>
      <w:r w:rsidRPr="00B51BB2">
        <w:rPr>
          <w:rFonts w:ascii="Arial" w:eastAsia="Times New Roman" w:hAnsi="Arial" w:cs="Arial"/>
          <w:color w:val="000000"/>
          <w:lang w:eastAsia="en-AU"/>
        </w:rPr>
        <w:t>i</w:t>
      </w:r>
      <w:proofErr w:type="spellEnd"/>
      <w:r w:rsidRPr="00B51BB2">
        <w:rPr>
          <w:rFonts w:ascii="Arial" w:eastAsia="Times New Roman" w:hAnsi="Arial" w:cs="Arial"/>
          <w:color w:val="000000"/>
          <w:lang w:eastAsia="en-AU"/>
        </w:rPr>
        <w:t>) in relation to persons wishing to be registered to engage in regulated activities; and</w:t>
      </w:r>
    </w:p>
    <w:p w14:paraId="5D71BA26" w14:textId="03BFF643" w:rsidR="00B51BB2" w:rsidRDefault="00B51BB2" w:rsidP="00B51BB2">
      <w:pPr>
        <w:shd w:val="clear" w:color="auto" w:fill="FFFFFF"/>
        <w:spacing w:after="120" w:line="240" w:lineRule="auto"/>
        <w:ind w:left="851"/>
        <w:rPr>
          <w:rFonts w:ascii="Arial" w:eastAsia="Times New Roman" w:hAnsi="Arial" w:cs="Arial"/>
          <w:color w:val="000000"/>
          <w:lang w:eastAsia="en-AU"/>
        </w:rPr>
      </w:pPr>
      <w:bookmarkStart w:id="5" w:name="GS2A@Hpc@Hqii@EN"/>
      <w:bookmarkEnd w:id="5"/>
      <w:r w:rsidRPr="00B51BB2">
        <w:rPr>
          <w:rFonts w:ascii="Arial" w:eastAsia="Times New Roman" w:hAnsi="Arial" w:cs="Arial"/>
          <w:color w:val="000000"/>
          <w:lang w:eastAsia="en-AU"/>
        </w:rPr>
        <w:t>(ii) in certain circumstances in relation to persons who are registered to engage in regulated activities</w:t>
      </w:r>
    </w:p>
    <w:p w14:paraId="10A1506B" w14:textId="1796C887" w:rsidR="0009183E" w:rsidRDefault="0009183E" w:rsidP="0009183E">
      <w:pPr>
        <w:shd w:val="clear" w:color="auto" w:fill="FFFFFF"/>
        <w:spacing w:after="120" w:line="240" w:lineRule="auto"/>
        <w:rPr>
          <w:rFonts w:ascii="Arial" w:eastAsia="Times New Roman" w:hAnsi="Arial" w:cs="Arial"/>
          <w:color w:val="000000"/>
          <w:lang w:eastAsia="en-AU"/>
        </w:rPr>
      </w:pPr>
    </w:p>
    <w:p w14:paraId="6B789B54" w14:textId="77777777" w:rsidR="0009183E" w:rsidRPr="002C621C" w:rsidRDefault="0009183E" w:rsidP="0009183E">
      <w:pPr>
        <w:pStyle w:val="Heading1"/>
        <w:rPr>
          <w:b/>
          <w:bCs/>
        </w:rPr>
      </w:pPr>
      <w:r w:rsidRPr="002C621C">
        <w:rPr>
          <w:b/>
          <w:bCs/>
        </w:rPr>
        <w:t>Working With Children</w:t>
      </w:r>
      <w:r>
        <w:rPr>
          <w:b/>
          <w:bCs/>
        </w:rPr>
        <w:t xml:space="preserve"> Policy</w:t>
      </w:r>
    </w:p>
    <w:p w14:paraId="79DF0181" w14:textId="77777777" w:rsidR="0009183E" w:rsidRPr="0009183E" w:rsidRDefault="0009183E" w:rsidP="0009183E">
      <w:pPr>
        <w:spacing w:line="240" w:lineRule="auto"/>
        <w:jc w:val="both"/>
        <w:rPr>
          <w:rFonts w:ascii="Arial" w:hAnsi="Arial" w:cs="Arial"/>
        </w:rPr>
      </w:pPr>
      <w:r w:rsidRPr="0009183E">
        <w:rPr>
          <w:rFonts w:ascii="Arial" w:hAnsi="Arial" w:cs="Arial"/>
        </w:rPr>
        <w:t>The Derwent Hockey Club, as part of the greater Hockey Tasmania community, defers to the relevant Hockey Tasmania policies contained at the link:</w:t>
      </w:r>
    </w:p>
    <w:p w14:paraId="7B499F68" w14:textId="77777777" w:rsidR="0009183E" w:rsidRPr="0009183E" w:rsidRDefault="00BF7B01" w:rsidP="0009183E">
      <w:pPr>
        <w:spacing w:line="240" w:lineRule="auto"/>
        <w:jc w:val="both"/>
        <w:rPr>
          <w:rFonts w:ascii="Arial" w:hAnsi="Arial" w:cs="Arial"/>
        </w:rPr>
      </w:pPr>
      <w:hyperlink r:id="rId6" w:history="1">
        <w:r w:rsidR="0009183E" w:rsidRPr="0009183E">
          <w:rPr>
            <w:rStyle w:val="Hyperlink"/>
            <w:rFonts w:ascii="Arial" w:hAnsi="Arial" w:cs="Arial"/>
          </w:rPr>
          <w:t>https://hockeytasmania.com.au/about-us/policies/working-with-children-registration</w:t>
        </w:r>
      </w:hyperlink>
      <w:r w:rsidR="0009183E" w:rsidRPr="0009183E">
        <w:rPr>
          <w:rFonts w:ascii="Arial" w:hAnsi="Arial" w:cs="Arial"/>
        </w:rPr>
        <w:t xml:space="preserve"> .</w:t>
      </w:r>
    </w:p>
    <w:p w14:paraId="52754833" w14:textId="77777777" w:rsidR="0009183E" w:rsidRPr="0009183E" w:rsidRDefault="0009183E" w:rsidP="0009183E">
      <w:pPr>
        <w:spacing w:line="240" w:lineRule="auto"/>
        <w:jc w:val="both"/>
        <w:rPr>
          <w:rFonts w:ascii="Arial" w:hAnsi="Arial" w:cs="Arial"/>
        </w:rPr>
      </w:pPr>
    </w:p>
    <w:p w14:paraId="785FAA42" w14:textId="738BEB5D" w:rsidR="0009183E" w:rsidRPr="0009183E" w:rsidRDefault="0009183E" w:rsidP="0009183E">
      <w:pPr>
        <w:spacing w:line="240" w:lineRule="auto"/>
        <w:jc w:val="both"/>
        <w:rPr>
          <w:rFonts w:ascii="Arial" w:hAnsi="Arial" w:cs="Arial"/>
        </w:rPr>
      </w:pPr>
      <w:r w:rsidRPr="0009183E">
        <w:rPr>
          <w:rFonts w:ascii="Arial" w:hAnsi="Arial" w:cs="Arial"/>
        </w:rPr>
        <w:t xml:space="preserve">When individuals register to become members of the Derwent Hockey </w:t>
      </w:r>
      <w:r w:rsidR="00BF7B01" w:rsidRPr="0009183E">
        <w:rPr>
          <w:rFonts w:ascii="Arial" w:hAnsi="Arial" w:cs="Arial"/>
        </w:rPr>
        <w:t>Club,</w:t>
      </w:r>
      <w:r w:rsidRPr="0009183E">
        <w:rPr>
          <w:rFonts w:ascii="Arial" w:hAnsi="Arial" w:cs="Arial"/>
        </w:rPr>
        <w:t xml:space="preserve"> they will be asked to supply information. One of the pieces of information that they will be asked to supply is whether they hold a Working with Children Card and the relevant card number. </w:t>
      </w:r>
    </w:p>
    <w:p w14:paraId="0913AF19" w14:textId="77777777" w:rsidR="0009183E" w:rsidRPr="0009183E" w:rsidRDefault="0009183E" w:rsidP="0009183E">
      <w:pPr>
        <w:spacing w:line="240" w:lineRule="auto"/>
        <w:jc w:val="both"/>
        <w:rPr>
          <w:rFonts w:ascii="Arial" w:hAnsi="Arial" w:cs="Arial"/>
        </w:rPr>
      </w:pPr>
      <w:r w:rsidRPr="0009183E">
        <w:rPr>
          <w:rFonts w:ascii="Arial" w:hAnsi="Arial" w:cs="Arial"/>
        </w:rPr>
        <w:t>These details will be stored on the Revolutionise Sport platform but will not be visible to persons other than those with ‘administration’ rights to this platform.</w:t>
      </w:r>
    </w:p>
    <w:p w14:paraId="53311524" w14:textId="77777777" w:rsidR="0009183E" w:rsidRPr="0009183E" w:rsidRDefault="0009183E" w:rsidP="0009183E">
      <w:pPr>
        <w:pStyle w:val="Heading2"/>
        <w:jc w:val="both"/>
        <w:rPr>
          <w:rFonts w:ascii="Arial" w:hAnsi="Arial" w:cs="Arial"/>
          <w:b/>
          <w:bCs/>
          <w:sz w:val="22"/>
          <w:szCs w:val="22"/>
        </w:rPr>
      </w:pPr>
      <w:r w:rsidRPr="0009183E">
        <w:rPr>
          <w:rFonts w:ascii="Arial" w:hAnsi="Arial" w:cs="Arial"/>
          <w:b/>
          <w:bCs/>
          <w:sz w:val="22"/>
          <w:szCs w:val="22"/>
        </w:rPr>
        <w:t>Parental permission for use of Images of Children</w:t>
      </w:r>
    </w:p>
    <w:p w14:paraId="1D04F5B9" w14:textId="77777777" w:rsidR="0009183E" w:rsidRPr="0009183E" w:rsidRDefault="0009183E" w:rsidP="0009183E">
      <w:pPr>
        <w:jc w:val="both"/>
        <w:rPr>
          <w:rFonts w:ascii="Arial" w:eastAsiaTheme="majorEastAsia" w:hAnsi="Arial" w:cs="Arial"/>
          <w:b/>
          <w:bCs/>
          <w:color w:val="2F5496" w:themeColor="accent1" w:themeShade="BF"/>
        </w:rPr>
      </w:pPr>
      <w:r w:rsidRPr="0009183E">
        <w:rPr>
          <w:rFonts w:ascii="Arial" w:hAnsi="Arial" w:cs="Arial"/>
          <w:lang w:eastAsia="en-AU"/>
        </w:rPr>
        <w:t xml:space="preserve">When registering with the Derwent </w:t>
      </w:r>
      <w:r w:rsidRPr="0009183E">
        <w:rPr>
          <w:rFonts w:ascii="Arial" w:hAnsi="Arial" w:cs="Arial"/>
        </w:rPr>
        <w:t>Hockey Club</w:t>
      </w:r>
      <w:r w:rsidRPr="0009183E">
        <w:rPr>
          <w:rFonts w:ascii="Arial" w:hAnsi="Arial" w:cs="Arial"/>
          <w:lang w:eastAsia="en-AU"/>
        </w:rPr>
        <w:t xml:space="preserve"> members / parents are given the opportunity to decline for their images and those of their children to be used by the club. For those who agree to the use of images, it is the policy of the Derwent </w:t>
      </w:r>
      <w:r w:rsidRPr="0009183E">
        <w:rPr>
          <w:rFonts w:ascii="Arial" w:hAnsi="Arial" w:cs="Arial"/>
        </w:rPr>
        <w:t>Hockey Club</w:t>
      </w:r>
      <w:r w:rsidRPr="0009183E">
        <w:rPr>
          <w:rFonts w:ascii="Arial" w:hAnsi="Arial" w:cs="Arial"/>
          <w:lang w:eastAsia="en-AU"/>
        </w:rPr>
        <w:t xml:space="preserve"> to use photographs of a player taken during the competition and or training to promote the club and/or to promote the broader activities of the club. Promotional activities may include the publishing of photographs on the club's website in addition to other social media platforms. </w:t>
      </w:r>
    </w:p>
    <w:p w14:paraId="0E97AA9A" w14:textId="77777777" w:rsidR="0009183E" w:rsidRPr="00B51BB2" w:rsidRDefault="0009183E" w:rsidP="0009183E">
      <w:pPr>
        <w:shd w:val="clear" w:color="auto" w:fill="FFFFFF"/>
        <w:spacing w:after="120" w:line="240" w:lineRule="auto"/>
        <w:rPr>
          <w:rFonts w:ascii="Arial" w:eastAsia="Times New Roman" w:hAnsi="Arial" w:cs="Arial"/>
          <w:color w:val="000000"/>
          <w:lang w:eastAsia="en-AU"/>
        </w:rPr>
      </w:pPr>
    </w:p>
    <w:p w14:paraId="6693787D" w14:textId="77777777" w:rsidR="00B51BB2" w:rsidRDefault="00B51BB2" w:rsidP="002C621C">
      <w:pPr>
        <w:spacing w:line="240" w:lineRule="auto"/>
        <w:rPr>
          <w:rFonts w:ascii="Arial" w:hAnsi="Arial" w:cs="Arial"/>
        </w:rPr>
      </w:pPr>
    </w:p>
    <w:p w14:paraId="5B3816AA" w14:textId="77777777" w:rsidR="002C621C" w:rsidRPr="002C621C" w:rsidRDefault="002C621C" w:rsidP="002C621C"/>
    <w:sectPr w:rsidR="002C621C" w:rsidRPr="002C6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330"/>
    <w:multiLevelType w:val="multilevel"/>
    <w:tmpl w:val="A0F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E6A15"/>
    <w:multiLevelType w:val="hybridMultilevel"/>
    <w:tmpl w:val="0CFA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F2FF6"/>
    <w:multiLevelType w:val="hybridMultilevel"/>
    <w:tmpl w:val="56D4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A242C"/>
    <w:multiLevelType w:val="hybridMultilevel"/>
    <w:tmpl w:val="291C5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E7B56"/>
    <w:multiLevelType w:val="multilevel"/>
    <w:tmpl w:val="D8B2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07085"/>
    <w:multiLevelType w:val="hybridMultilevel"/>
    <w:tmpl w:val="F87AF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D7A02"/>
    <w:multiLevelType w:val="hybridMultilevel"/>
    <w:tmpl w:val="EC8A1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5C49ED"/>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648ED"/>
    <w:multiLevelType w:val="multilevel"/>
    <w:tmpl w:val="FF32D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8F2ACD"/>
    <w:multiLevelType w:val="hybridMultilevel"/>
    <w:tmpl w:val="402A1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B032BC"/>
    <w:multiLevelType w:val="multilevel"/>
    <w:tmpl w:val="14C8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DD4506"/>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40E78"/>
    <w:multiLevelType w:val="hybridMultilevel"/>
    <w:tmpl w:val="93140290"/>
    <w:lvl w:ilvl="0" w:tplc="8CECA73C">
      <w:numFmt w:val="bullet"/>
      <w:lvlText w:val="•"/>
      <w:lvlJc w:val="left"/>
      <w:pPr>
        <w:ind w:left="928" w:hanging="360"/>
      </w:pPr>
      <w:rPr>
        <w:rFonts w:ascii="Arial" w:eastAsiaTheme="minorHAnsi"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EB050EC"/>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8B0BFF"/>
    <w:multiLevelType w:val="hybridMultilevel"/>
    <w:tmpl w:val="F31E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DE4ED4"/>
    <w:multiLevelType w:val="hybridMultilevel"/>
    <w:tmpl w:val="9F78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4262F9"/>
    <w:multiLevelType w:val="hybridMultilevel"/>
    <w:tmpl w:val="478E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A77A4B"/>
    <w:multiLevelType w:val="hybridMultilevel"/>
    <w:tmpl w:val="AC54B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0F0654"/>
    <w:multiLevelType w:val="hybridMultilevel"/>
    <w:tmpl w:val="A00E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6B692A"/>
    <w:multiLevelType w:val="hybridMultilevel"/>
    <w:tmpl w:val="6E2E3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4C6764"/>
    <w:multiLevelType w:val="multilevel"/>
    <w:tmpl w:val="6EE2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DD2A02"/>
    <w:multiLevelType w:val="hybridMultilevel"/>
    <w:tmpl w:val="B04E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DC469A"/>
    <w:multiLevelType w:val="hybridMultilevel"/>
    <w:tmpl w:val="882ECFBA"/>
    <w:lvl w:ilvl="0" w:tplc="EC7045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E27730"/>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312163"/>
    <w:multiLevelType w:val="hybridMultilevel"/>
    <w:tmpl w:val="6A62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5612E0"/>
    <w:multiLevelType w:val="hybridMultilevel"/>
    <w:tmpl w:val="53E8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E21DC7"/>
    <w:multiLevelType w:val="hybridMultilevel"/>
    <w:tmpl w:val="9196C03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5A31DC"/>
    <w:multiLevelType w:val="hybridMultilevel"/>
    <w:tmpl w:val="9438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C261CD"/>
    <w:multiLevelType w:val="multilevel"/>
    <w:tmpl w:val="A03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1"/>
  </w:num>
  <w:num w:numId="3">
    <w:abstractNumId w:val="5"/>
  </w:num>
  <w:num w:numId="4">
    <w:abstractNumId w:val="27"/>
  </w:num>
  <w:num w:numId="5">
    <w:abstractNumId w:val="16"/>
  </w:num>
  <w:num w:numId="6">
    <w:abstractNumId w:val="3"/>
  </w:num>
  <w:num w:numId="7">
    <w:abstractNumId w:val="9"/>
  </w:num>
  <w:num w:numId="8">
    <w:abstractNumId w:val="14"/>
  </w:num>
  <w:num w:numId="9">
    <w:abstractNumId w:val="17"/>
  </w:num>
  <w:num w:numId="10">
    <w:abstractNumId w:val="25"/>
  </w:num>
  <w:num w:numId="11">
    <w:abstractNumId w:val="19"/>
  </w:num>
  <w:num w:numId="12">
    <w:abstractNumId w:val="15"/>
  </w:num>
  <w:num w:numId="13">
    <w:abstractNumId w:val="22"/>
  </w:num>
  <w:num w:numId="14">
    <w:abstractNumId w:val="12"/>
  </w:num>
  <w:num w:numId="15">
    <w:abstractNumId w:val="23"/>
  </w:num>
  <w:num w:numId="16">
    <w:abstractNumId w:val="13"/>
  </w:num>
  <w:num w:numId="17">
    <w:abstractNumId w:val="4"/>
  </w:num>
  <w:num w:numId="18">
    <w:abstractNumId w:val="7"/>
  </w:num>
  <w:num w:numId="19">
    <w:abstractNumId w:val="20"/>
  </w:num>
  <w:num w:numId="20">
    <w:abstractNumId w:val="11"/>
  </w:num>
  <w:num w:numId="21">
    <w:abstractNumId w:val="2"/>
  </w:num>
  <w:num w:numId="22">
    <w:abstractNumId w:val="6"/>
  </w:num>
  <w:num w:numId="23">
    <w:abstractNumId w:val="0"/>
  </w:num>
  <w:num w:numId="24">
    <w:abstractNumId w:val="10"/>
  </w:num>
  <w:num w:numId="25">
    <w:abstractNumId w:val="28"/>
  </w:num>
  <w:num w:numId="26">
    <w:abstractNumId w:val="8"/>
  </w:num>
  <w:num w:numId="27">
    <w:abstractNumId w:val="1"/>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2B"/>
    <w:rsid w:val="000032A7"/>
    <w:rsid w:val="0009183E"/>
    <w:rsid w:val="00222AAB"/>
    <w:rsid w:val="002B5F2B"/>
    <w:rsid w:val="002C621C"/>
    <w:rsid w:val="002D3BDE"/>
    <w:rsid w:val="003527D4"/>
    <w:rsid w:val="005530B8"/>
    <w:rsid w:val="00652D17"/>
    <w:rsid w:val="008769A1"/>
    <w:rsid w:val="009902A5"/>
    <w:rsid w:val="009B0761"/>
    <w:rsid w:val="009B103A"/>
    <w:rsid w:val="00A61E8B"/>
    <w:rsid w:val="00B07053"/>
    <w:rsid w:val="00B51BB2"/>
    <w:rsid w:val="00BD047C"/>
    <w:rsid w:val="00BF7B01"/>
    <w:rsid w:val="00D04492"/>
    <w:rsid w:val="00FB6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5B6"/>
  <w15:chartTrackingRefBased/>
  <w15:docId w15:val="{B60969BD-BBBD-4936-BAD1-44496D10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A5"/>
  </w:style>
  <w:style w:type="paragraph" w:styleId="Heading1">
    <w:name w:val="heading 1"/>
    <w:basedOn w:val="Normal"/>
    <w:next w:val="Normal"/>
    <w:link w:val="Heading1Char"/>
    <w:uiPriority w:val="9"/>
    <w:qFormat/>
    <w:rsid w:val="002B5F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0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2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F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02A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02A5"/>
    <w:pPr>
      <w:ind w:left="720"/>
      <w:contextualSpacing/>
    </w:pPr>
  </w:style>
  <w:style w:type="paragraph" w:customStyle="1" w:styleId="Default">
    <w:name w:val="Default"/>
    <w:rsid w:val="008769A1"/>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sid w:val="000032A7"/>
    <w:rPr>
      <w:color w:val="0000FF"/>
      <w:u w:val="single"/>
    </w:rPr>
  </w:style>
  <w:style w:type="character" w:customStyle="1" w:styleId="Heading3Char">
    <w:name w:val="Heading 3 Char"/>
    <w:basedOn w:val="DefaultParagraphFont"/>
    <w:link w:val="Heading3"/>
    <w:uiPriority w:val="9"/>
    <w:rsid w:val="003527D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B103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BD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5315">
      <w:bodyDiv w:val="1"/>
      <w:marLeft w:val="0"/>
      <w:marRight w:val="0"/>
      <w:marTop w:val="0"/>
      <w:marBottom w:val="0"/>
      <w:divBdr>
        <w:top w:val="none" w:sz="0" w:space="0" w:color="auto"/>
        <w:left w:val="none" w:sz="0" w:space="0" w:color="auto"/>
        <w:bottom w:val="none" w:sz="0" w:space="0" w:color="auto"/>
        <w:right w:val="none" w:sz="0" w:space="0" w:color="auto"/>
      </w:divBdr>
      <w:divsChild>
        <w:div w:id="21990092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84684990">
              <w:blockQuote w:val="1"/>
              <w:marLeft w:val="0"/>
              <w:marRight w:val="0"/>
              <w:marTop w:val="120"/>
              <w:marBottom w:val="120"/>
              <w:divBdr>
                <w:top w:val="none" w:sz="0" w:space="0" w:color="auto"/>
                <w:left w:val="none" w:sz="0" w:space="0" w:color="auto"/>
                <w:bottom w:val="none" w:sz="0" w:space="0" w:color="auto"/>
                <w:right w:val="none" w:sz="0" w:space="0" w:color="auto"/>
              </w:divBdr>
            </w:div>
            <w:div w:id="201583580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9325833">
      <w:bodyDiv w:val="1"/>
      <w:marLeft w:val="0"/>
      <w:marRight w:val="0"/>
      <w:marTop w:val="0"/>
      <w:marBottom w:val="0"/>
      <w:divBdr>
        <w:top w:val="none" w:sz="0" w:space="0" w:color="auto"/>
        <w:left w:val="none" w:sz="0" w:space="0" w:color="auto"/>
        <w:bottom w:val="none" w:sz="0" w:space="0" w:color="auto"/>
        <w:right w:val="none" w:sz="0" w:space="0" w:color="auto"/>
      </w:divBdr>
      <w:divsChild>
        <w:div w:id="527568787">
          <w:blockQuote w:val="1"/>
          <w:marLeft w:val="0"/>
          <w:marRight w:val="0"/>
          <w:marTop w:val="120"/>
          <w:marBottom w:val="120"/>
          <w:divBdr>
            <w:top w:val="none" w:sz="0" w:space="0" w:color="auto"/>
            <w:left w:val="none" w:sz="0" w:space="0" w:color="auto"/>
            <w:bottom w:val="none" w:sz="0" w:space="0" w:color="auto"/>
            <w:right w:val="none" w:sz="0" w:space="0" w:color="auto"/>
          </w:divBdr>
        </w:div>
        <w:div w:id="5450223">
          <w:blockQuote w:val="1"/>
          <w:marLeft w:val="0"/>
          <w:marRight w:val="0"/>
          <w:marTop w:val="120"/>
          <w:marBottom w:val="120"/>
          <w:divBdr>
            <w:top w:val="none" w:sz="0" w:space="0" w:color="auto"/>
            <w:left w:val="none" w:sz="0" w:space="0" w:color="auto"/>
            <w:bottom w:val="none" w:sz="0" w:space="0" w:color="auto"/>
            <w:right w:val="none" w:sz="0" w:space="0" w:color="auto"/>
          </w:divBdr>
        </w:div>
        <w:div w:id="1882743905">
          <w:blockQuote w:val="1"/>
          <w:marLeft w:val="0"/>
          <w:marRight w:val="0"/>
          <w:marTop w:val="120"/>
          <w:marBottom w:val="120"/>
          <w:divBdr>
            <w:top w:val="none" w:sz="0" w:space="0" w:color="auto"/>
            <w:left w:val="none" w:sz="0" w:space="0" w:color="auto"/>
            <w:bottom w:val="none" w:sz="0" w:space="0" w:color="auto"/>
            <w:right w:val="none" w:sz="0" w:space="0" w:color="auto"/>
          </w:divBdr>
          <w:divsChild>
            <w:div w:id="89424431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26671907">
                  <w:blockQuote w:val="1"/>
                  <w:marLeft w:val="0"/>
                  <w:marRight w:val="0"/>
                  <w:marTop w:val="120"/>
                  <w:marBottom w:val="120"/>
                  <w:divBdr>
                    <w:top w:val="none" w:sz="0" w:space="0" w:color="auto"/>
                    <w:left w:val="none" w:sz="0" w:space="0" w:color="auto"/>
                    <w:bottom w:val="none" w:sz="0" w:space="0" w:color="auto"/>
                    <w:right w:val="none" w:sz="0" w:space="0" w:color="auto"/>
                  </w:divBdr>
                </w:div>
                <w:div w:id="31157006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ckeytasmania.com.au/about-us/policies/working-with-children-registr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596</Words>
  <Characters>3401</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vt:lpstr>
      <vt:lpstr>Working with Children Policy </vt:lpstr>
      <vt:lpstr>    REASON FOR POLICY</vt:lpstr>
      <vt:lpstr>    POLICY STATEMENT</vt:lpstr>
      <vt:lpstr>    SCOPE</vt:lpstr>
      <vt:lpstr>    DEFINITIONS</vt:lpstr>
      <vt:lpstr>    POLICY HISTORY</vt:lpstr>
      <vt:lpstr>Working With Children Policy</vt:lpstr>
      <vt:lpstr>    BACKGROUND</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Ansell, James</dc:creator>
  <cp:keywords/>
  <dc:description/>
  <cp:lastModifiedBy>Ansell, James</cp:lastModifiedBy>
  <cp:revision>5</cp:revision>
  <dcterms:created xsi:type="dcterms:W3CDTF">2021-07-22T00:06:00Z</dcterms:created>
  <dcterms:modified xsi:type="dcterms:W3CDTF">2021-07-25T21:21:00Z</dcterms:modified>
</cp:coreProperties>
</file>